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BB541" w14:textId="77777777" w:rsidR="00100CBC" w:rsidRPr="00100CBC" w:rsidRDefault="00100CBC" w:rsidP="00100CBC">
      <w:pPr>
        <w:shd w:val="clear" w:color="auto" w:fill="FFFFFF"/>
        <w:spacing w:after="0" w:line="240" w:lineRule="auto"/>
        <w:outlineLvl w:val="0"/>
        <w:rPr>
          <w:rFonts w:ascii="Tahoma" w:eastAsia="Times New Roman" w:hAnsi="Tahoma" w:cs="Tahoma"/>
          <w:color w:val="000000"/>
          <w:kern w:val="36"/>
          <w:sz w:val="48"/>
          <w:szCs w:val="48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kern w:val="36"/>
          <w:sz w:val="48"/>
          <w:szCs w:val="48"/>
          <w:bdr w:val="none" w:sz="0" w:space="0" w:color="auto" w:frame="1"/>
          <w:shd w:val="clear" w:color="auto" w:fill="FFFFFF"/>
          <w:lang w:eastAsia="ru-RU"/>
        </w:rPr>
        <w:t>И</w:t>
      </w:r>
      <w:bookmarkStart w:id="0" w:name="_GoBack"/>
      <w:bookmarkEnd w:id="0"/>
      <w:r w:rsidRPr="00100CBC">
        <w:rPr>
          <w:rFonts w:ascii="Tahoma" w:eastAsia="Times New Roman" w:hAnsi="Tahoma" w:cs="Tahoma"/>
          <w:color w:val="000000"/>
          <w:kern w:val="36"/>
          <w:sz w:val="48"/>
          <w:szCs w:val="48"/>
          <w:bdr w:val="none" w:sz="0" w:space="0" w:color="auto" w:frame="1"/>
          <w:shd w:val="clear" w:color="auto" w:fill="FFFFFF"/>
          <w:lang w:eastAsia="ru-RU"/>
        </w:rPr>
        <w:t>ЕРУСАЛИМСКИЙ УСТАВ</w:t>
      </w:r>
    </w:p>
    <w:p w14:paraId="4655408D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[Иерусалимский Типикон, (Нео-) савваитский Типикон; греч. Τυπικὸν τῆς Λαύρας τοῦ ἁϒίου Σάββα], книга, с XI в. определяющая порядок служб и регламентирующая использование основных богослужебных книг в визант. литургической традиции. Выражение «по Иерусалимскому уставу» означает совершение богослужения в соответствии с этим Типиконом.</w:t>
      </w:r>
    </w:p>
    <w:p w14:paraId="4F9A3511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Двумя основными частями И. у. являются «Иерусалимские богослужебные главы» и «Иерусалимский синаксарь». «Иерусалимские богослужебные главы» определяли порядок и особенности совершения </w:t>
      </w:r>
      <w:hyperlink r:id="rId4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всенощного бдения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(агрипнии палестинского происхождения) и служб суточного круга богослужения. «Иерусалимский синаксарь» - это собрание рубрик (уставных указаний) для служб всего церковного года, состоящее из 2 частей, месяцесловной и триодной. В месяцесловной части регламентировалось совершение служб годового неподвижного круга богослужения с 1 сент. по 31 авг.; в триодной устанавливался порядок совершения годового подвижного круга богослужения в период от Недели о мытаре и фарисее до Недели всех святых.</w:t>
      </w:r>
    </w:p>
    <w:p w14:paraId="69F2B0D4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И. у. обладал основными литургическими параметрами (месяцеслов, лекционарная система, евхологические тексты) к-польского происхождения. Он появился в 1-й пол. XI в. в Палестине в результате адаптации к обычаям палестинских киновий первоначальной (к-польской) редакции Студийского синаксаря, возникшей в свою очередь не ранее 1-й пол. X в. Отличительной чертой богослужения, определявшегося И. у., было совершение в канун воскресных и праздничных дней особых «всенощных бдений» (агрипний), состоявших из великой </w:t>
      </w:r>
      <w:hyperlink r:id="rId5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вечерни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, в к-рую были включены </w:t>
      </w:r>
      <w:hyperlink r:id="rId6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лития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и </w:t>
      </w:r>
      <w:hyperlink r:id="rId7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благословение хлебов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, и воскресной или праздничной </w:t>
      </w:r>
      <w:hyperlink r:id="rId8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утрени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.</w:t>
      </w:r>
    </w:p>
    <w:p w14:paraId="1E76A530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В архаичных редакциях И. у., сохранившихся в сир. переводах, описание совершения всенощного бдения и некоторые указания общелитургического характера находились после текста «Иерусалимского синаксаря». В известных ранних греч. редакциях «Иерусалимские богослужебные главы» различной степени полноты помещены перед «Иерусалимским синаксарем». Отличительной особенностью всех ранних редакций И. у. было отсутствие описания малой вечерни в начале «Иерусалимских богослужебных глав», однако из текста следовало, что эта служба совершалась в притворе (нартексе) накануне воскресных и праздничных дней перед вечерней трапезой.</w:t>
      </w:r>
    </w:p>
    <w:p w14:paraId="48ABD2B1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В ранние редакции И. у. часто вносились дополнения и изменения, обусловленные богослужебными традициями того мон-ря, литургическую практику к-рого регламентировал данный текст (аналогично тому, как подобные изменения вносились и в тексты первоначального Студийского синаксаря или же Евергетидского при их адаптации в том или ином монастыре). Позднее в начальную часть «Иерусалимских богослужебных глав» были внесены подробное описание малой вечерни, совершавшейся в храме, а не в притворе, а также некоторые др. изменения. Эта дополненная редакция И. у., условно называемая базовой, получила широкое распространение в Палестине и в К-польском Патриархате; базовую редакцию продолжали дополнять, что вело к развитию на ее основе новых редакций И. у.</w:t>
      </w:r>
    </w:p>
    <w:p w14:paraId="02BEA93F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Вскоре после появления в Палестине И. у. начал распространяться в Антиохийском и К-польском Патриархатах. Неск. выписок из И. у. сделал уже в посл. четв. XI в. прп. Никон Черногорец, трудившийся в мон-ре около Антиохии (см. 1-е слово составленного им «Тактикона» и 57-е слово его «Пандект»), а в мон-ре св. Иоанна Богослова на о-ве Патмос, основанном в 1088 г. мон. Христодулом, богослужение регламентировалось И. у. изначально. В 1-й пол. XIII в. И. у. вытеснил др. богослужебные уставы и занял господствующее положение в Никейской империи (1204-1261).</w:t>
      </w:r>
    </w:p>
    <w:p w14:paraId="676F7A4D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После освобождения К-поля летом 1261 г. и возвращения визант. императора из Никеи в древнюю столицу И. у. был введен и непосредственно в к-польскую литургическую практику. В палеологовский период И. у. определял как монастырское богослужение, в т. ч. и в Студийском мон-ре, так и кафедральное (соборно-приходское), включая богослужение в к-польском соборе Св. Софии.</w:t>
      </w:r>
    </w:p>
    <w:p w14:paraId="3AB3C074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Во 2-й пол. XIII в. И. у. был принят на Афоне, мон-ри к-рого, подобно к-польским, быстро возрождались после освобождения от лат. господства. В 40-х гг. XIV в. игум. афонской Великой Лавры св. Филофей Коккин (впосл. патриарх К-польский) составил 2 нормативных текста, тесно связанных с новой литургической традицией, определявшейся И. у. Один из этих текстов, «Устав священнослужения» (Ϫιάταξις τῆς ἱεροδιακονίας), определял особенности совершения всенощного бдения, а также утрени и вечерни. Другой, «Устав Божественной литургии» (Ϫιάταξις τῆς θείας λειτουρϒίας), впосл. широко употреблявшийся в Византии и за ее пределами, регламентировал совершение евхаристической литургии.</w:t>
      </w:r>
    </w:p>
    <w:p w14:paraId="1CEB02E0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lastRenderedPageBreak/>
        <w:t>Во 2-й пол. XIII - 1-й пол. XIV в. распространение И. у. сопровождалось внесением дополнений в «базовую» редакцию. Так, в составе И. у. появилось пространное наставление игумену о необходимости тщательного соблюдения предписаний Типикона. Содержащееся в нем сообщение о создании этого текста в палестинских мон-рях на долгое время определило представления историков о месте возникновения И. у. Новая часть И. у., </w:t>
      </w:r>
      <w:hyperlink r:id="rId9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Марковы главы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, состояла из указаний («глав») о совершении богослужения в случае совпадения различных праздников, пред- и попразднств с воскресными днями и праздниками подвижного круга. Кроме того, в текст месяцесловной части вносились специальные рубрики, связанные с местными богослужебными обычаями.</w:t>
      </w:r>
    </w:p>
    <w:p w14:paraId="7EDA11F4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Одновременно с различными дополнениями «базовой» редакции появлялись новые пространные редакции И. у. Так, вероятно, не позднее нач. 40-х гг. XIV в. была создана пространная редакция И. у., в которой Марковы главы распределили по тексту месяцесловной и триодной частей, а также включили часть этих глав в состав «Иерусалимских богослужебных глав», общее число к-рых дошло до 50.</w:t>
      </w:r>
    </w:p>
    <w:p w14:paraId="0EEFC1E4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В 3-й четв. XIV в. пространная редакция И. у. с распределенными Марковыми главами распространилась и на Афоне. Тогда же в конце «Иерусалимских богослужебных глав» появилось неск. глав (о совершении последования по усопшим, о возжжении свеч и о постных днях в течение года), надписанных именем К-польского патриарха Никифора. Кроме того, на основании «базовой» редакции И. у. была составлена пространная «келлиотско-киновиальная», где в тексте «Иерусалимских богослужебных глав» систематически отмечены различия в совершении служб суточного круга в мон-рях келлиотских и в монастырях киновиальных, а в месяцесловную и триодную части устава включены рубрики, регламентирующие совершение малой вечерни для праздников, имеющих всенощное бдение.</w:t>
      </w:r>
    </w:p>
    <w:p w14:paraId="1EEE123C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Появление и распространение нового богослужебного устава в К-поле и на Афоне в палеологовский период стало причиной появления и распространения новых богослужебных книг, соответствующих И. у.: Евангелия служебного, Апостола служебного, Часослова, Евхология, Миней служебных, Триоди Постной и Цветной, Октоиха, а также различных сборников, предназначенных для обеспечения </w:t>
      </w:r>
      <w:hyperlink r:id="rId10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уставных чтений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. Переход на богослужение, регламентировавшееся И. у., привел к существенным изменениям и в практике церковного пения, в результате к-рых в кон. XIII - нач. XIV в. в Византии сложился новый тип богослужебных певч. рукописей (т. н. ᾿Ακολουθίαι), включающих невмированные песнопения великой вечерни и утрени по И. у., а также песнопения Божественной литургии.</w:t>
      </w:r>
    </w:p>
    <w:p w14:paraId="2E3E496F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По свидетельству свт. Симеона Фессалоникийского, в нач. XV в. И. у. был единственным богослужебным уставом, использовавшимся в К-польском Патриархате.</w:t>
      </w:r>
    </w:p>
    <w:p w14:paraId="269405A9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Изменения в визант. литургической практике, обусловленные богослужением по И. у., оказали влияние на традиции, находившиеся в непосредственном контакте с византийской. В XII в. были осуществлены переводы И. у. на сир., груз. и, вероятно, араб. языки, в 1-й пол. XIV в. болгары и сербы перевели И. у. на церковнослав. язык.</w:t>
      </w:r>
    </w:p>
    <w:p w14:paraId="17A9F22C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Создание 1-го перевода И. у. на церковнослав. язык болг. извода иногда связывается с именем старца Иоанна из Великой Лавры на Афоне. Греч. оригинал этого текста принадлежал к «базовой» редакции И. у. В серб. же мон-рях широкое распространение получил перевод И. у. на церковнослав. язык серб. извода, выполненный в 1319 г. по инициативе серб. архиеп. св. Никодима и ставший известным как «Никодимов Типик». Греч. оригинал «Никодимова Типика» также принадлежал к «базовой» редакции, однако имел отличия от того греч. оригинала, к-рый стоит за 1-м болг. переводом. Вскоре после появления «Никодимова Типика» в афонском Хиландарском мон-ре был сделан 2-й серб. перевод И. у., к-рый известен как «Романов Типик». Греч. оригинал «Романова Типика» принадлежал к пространной «келлиотско-киновиальной» редакции, и поэтому в тексте «Иерусалимских богослужебных глав» систематически отмечены особенности совершения богослужения в келлиотском и киновиальном мон-рях.</w:t>
      </w:r>
    </w:p>
    <w:p w14:paraId="6DBC4A4A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Переводы богослужебной лит-ры, выполненные болг. книжниками в 1-й пол. XIV в. на Афоне, послужили основой при редактировании и установлении текстов богослужебных книг в кругу Болгарского патриарха свт. Евфимия Тырновского (1375-1393), пребывавшего долгое время на Афоне. Сам патриарх Евфимий перевел Служебник, в состав к-рого входил и Устав Божественной литургии патриарха Филофея, т. е. один из нормативных текстов, связанных с богослужением по И. у. В результате евфимиевской книжной справы был сформирован новый корпус богослужебных книг, заменивший прежде бывшие в употреблении слав. богослужебные книги. В этот корпус вошел и новый перевод И. у., его греч. оригинал принадлежал к пространной редакции с распределенными Марковыми главами, дополненной статьями патриарха Никифора (древнейший болг. список перевода известен под названием «Черепишский Типик»).</w:t>
      </w:r>
    </w:p>
    <w:p w14:paraId="6B7ADD96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lastRenderedPageBreak/>
        <w:t>Богослужебная реформа патриарха свт. Евфимия Тырновского оказала значительное влияние на литургическую традицию Сербской Церкви, где вскоре был принят новый болг. перевод И. у. и, вероятно, связанный с ним корпус богослужебных книг.</w:t>
      </w:r>
    </w:p>
    <w:p w14:paraId="6393A220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Перевод И. у. на церковнослав. язык рус. извода был осуществлен на Руси во 2-й пол. XIV в. независимо от южнослав. переводов и связан, вероятно, с деятельностью свт. Алексия, митр. Московского. Греч. оригинал перевода, подобно оригиналам первых болг. и серб. переводов, принадлежал к «базовой» редакции И. у. Заметного распространения этот перевод не получил.</w:t>
      </w:r>
    </w:p>
    <w:p w14:paraId="31BF8F5A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В 1401 г. в К-поле была составлена новая рус. редакция И. у., созданная с использованием 2-го болг. перевода устава. В XV в. она распространилась (под названием «Око церковное») в Русской Церкви и стала основой всех последующих рус. редакций И. у.</w:t>
      </w:r>
    </w:p>
    <w:p w14:paraId="1CEB2E7D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Первое греч. издание И. у. было напечатано в Венеции в 1545 г., одно из последних - там же в 1771 г. (в наст. время в греч. традиции И. у. в полном объеме используется лишь на Афоне и в мон-рях со строгим уставом, тогда как в проч. мон-рях, в соборах и на приходах порядок совершения служб по сравнению с регламентацией И. у. значительно изменен - см. ст. </w:t>
      </w:r>
      <w:hyperlink r:id="rId11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Виолакиса Типикон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).</w:t>
      </w:r>
    </w:p>
    <w:p w14:paraId="05632D22" w14:textId="77777777" w:rsidR="00100CBC" w:rsidRPr="00100CBC" w:rsidRDefault="00100CBC" w:rsidP="00100CBC">
      <w:pPr>
        <w:shd w:val="clear" w:color="auto" w:fill="FFFFFF"/>
        <w:spacing w:before="144" w:after="192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В России церковнослав. перевод И. у. был впервые издан в 1610 г. в Москве Онисимом Радишевским. В XVII в. печатный текст перевода И. у. неоднократно редактировался. До наст. времени без существенных изменений перепечатывается текст московского издания 1695 г., который используется в РПЦ в качестве общепринятого богослужебного устава.</w:t>
      </w:r>
    </w:p>
    <w:p w14:paraId="48C71BE9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См. также ст. </w:t>
      </w:r>
      <w:hyperlink r:id="rId12" w:history="1">
        <w:r w:rsidRPr="00100CBC">
          <w:rPr>
            <w:rFonts w:ascii="Tahoma" w:eastAsia="Times New Roman" w:hAnsi="Tahoma" w:cs="Tahoma"/>
            <w:i/>
            <w:iCs/>
            <w:color w:val="000000"/>
            <w:sz w:val="19"/>
            <w:szCs w:val="19"/>
            <w:u w:val="single"/>
            <w:bdr w:val="none" w:sz="0" w:space="0" w:color="auto" w:frame="1"/>
            <w:shd w:val="clear" w:color="auto" w:fill="FFFFFF"/>
            <w:lang w:eastAsia="ru-RU"/>
          </w:rPr>
          <w:t>Уставы церковные и монастырские</w:t>
        </w:r>
      </w:hyperlink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.</w:t>
      </w:r>
    </w:p>
    <w:p w14:paraId="19869A14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Лит.: </w:t>
      </w:r>
      <w:r w:rsidRPr="00100CBC">
        <w:rPr>
          <w:rFonts w:ascii="Tahoma" w:eastAsia="Times New Roman" w:hAnsi="Tahoma" w:cs="Tahoma"/>
          <w:i/>
          <w:iCs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Мансветов И. Д.</w:t>
      </w: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Как у нас правились Типик и Минеи: Мат-лы для истории книжной справы в XVII ст. // ПрТСО. 1884. Ч. 33. С. 272-320 (Отд. отт.: М., 1884); </w:t>
      </w:r>
      <w:r w:rsidRPr="00100CBC">
        <w:rPr>
          <w:rFonts w:ascii="Tahoma" w:eastAsia="Times New Roman" w:hAnsi="Tahoma" w:cs="Tahoma"/>
          <w:i/>
          <w:iCs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он же.</w:t>
      </w: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Церковный устав (Типик), его образование и судьба в Греч. и Рус. Церкви. М., 1885; </w:t>
      </w:r>
      <w:r w:rsidRPr="00100CBC">
        <w:rPr>
          <w:rFonts w:ascii="Tahoma" w:eastAsia="Times New Roman" w:hAnsi="Tahoma" w:cs="Tahoma"/>
          <w:i/>
          <w:iCs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Дмитриевский А. А.</w:t>
      </w: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Отзыв о соч. проф. И. Мансветова «Церковный устав...» // ХЧ. 1888. № 9/10. С. 480-576; </w:t>
      </w:r>
      <w:r w:rsidRPr="00100CBC">
        <w:rPr>
          <w:rFonts w:ascii="Tahoma" w:eastAsia="Times New Roman" w:hAnsi="Tahoma" w:cs="Tahoma"/>
          <w:i/>
          <w:iCs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Дмитриевский.</w:t>
      </w: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Описание. Т. 3; </w:t>
      </w:r>
      <w:r w:rsidRPr="00100CBC">
        <w:rPr>
          <w:rFonts w:ascii="Tahoma" w:eastAsia="Times New Roman" w:hAnsi="Tahoma" w:cs="Tahoma"/>
          <w:i/>
          <w:iCs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Пентковский А. М.</w:t>
      </w: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Иерусалимский типикон в К-поле в Палеологовский период // ЖМП. 2003. № 5. С. 77-87; </w:t>
      </w:r>
      <w:r w:rsidRPr="00100CBC">
        <w:rPr>
          <w:rFonts w:ascii="Tahoma" w:eastAsia="Times New Roman" w:hAnsi="Tahoma" w:cs="Tahoma"/>
          <w:i/>
          <w:iCs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он же.</w:t>
      </w:r>
      <w:r w:rsidRPr="00100CBC"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 Иерусалимский устав и его слав. переводы в XIV ст. // Преводите през XIV столетие на Балканите. София, 2004. С. 153-158.</w:t>
      </w:r>
    </w:p>
    <w:p w14:paraId="5BD1C256" w14:textId="77777777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</w:pPr>
      <w:r w:rsidRPr="00100CBC">
        <w:rPr>
          <w:rFonts w:ascii="Tahoma" w:eastAsia="Times New Roman" w:hAnsi="Tahoma" w:cs="Tahoma"/>
          <w:b/>
          <w:bCs/>
          <w:i/>
          <w:iCs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w:t>А. М. Пентковский</w:t>
      </w:r>
    </w:p>
    <w:p w14:paraId="19194B9D" w14:textId="77777777" w:rsidR="00100CBC" w:rsidRPr="00100CBC" w:rsidRDefault="00100CBC" w:rsidP="00100C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0CBC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br w:type="textWrapping" w:clear="all"/>
      </w:r>
    </w:p>
    <w:p w14:paraId="7A768EDD" w14:textId="77777777" w:rsidR="00100CBC" w:rsidRPr="00100CBC" w:rsidRDefault="00100CBC" w:rsidP="00100CBC">
      <w:pPr>
        <w:spacing w:after="0" w:line="240" w:lineRule="auto"/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hyperlink r:id="rId13" w:history="1">
        <w:r w:rsidRPr="00100CBC">
          <w:rPr>
            <w:rFonts w:ascii="Tahoma" w:eastAsia="Times New Roman" w:hAnsi="Tahoma" w:cs="Tahoma"/>
            <w:b/>
            <w:bCs/>
            <w:color w:val="000000"/>
            <w:sz w:val="17"/>
            <w:szCs w:val="17"/>
            <w:u w:val="single"/>
            <w:bdr w:val="none" w:sz="0" w:space="0" w:color="auto" w:frame="1"/>
            <w:shd w:val="clear" w:color="auto" w:fill="FFFFFF"/>
            <w:lang w:eastAsia="ru-RU"/>
          </w:rPr>
          <w:t>Электронная версия разработана при финансовой поддержке Федерального агентства по печати и массовым коммуникациям</w:t>
        </w:r>
      </w:hyperlink>
      <w:r w:rsidRPr="00100CBC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br/>
        <w:t>© 1998 - 2023 Церковно-научный центр «Православная Энциклопедия».</w:t>
      </w:r>
    </w:p>
    <w:p w14:paraId="3153A368" w14:textId="5275ED35" w:rsidR="00100CBC" w:rsidRPr="00100CBC" w:rsidRDefault="00100CBC" w:rsidP="00100CBC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  <w:r w:rsidRPr="00100CBC">
        <w:rPr>
          <w:rFonts w:ascii="Tahoma" w:eastAsia="Times New Roman" w:hAnsi="Tahoma" w:cs="Tahoma"/>
          <w:noProof/>
          <w:color w:val="000000"/>
          <w:sz w:val="19"/>
          <w:szCs w:val="19"/>
          <w:bdr w:val="none" w:sz="0" w:space="0" w:color="auto" w:frame="1"/>
          <w:shd w:val="clear" w:color="auto" w:fill="FFFFFF"/>
          <w:lang w:eastAsia="ru-RU"/>
        </w:rPr>
        <mc:AlternateContent>
          <mc:Choice Requires="wps">
            <w:drawing>
              <wp:inline distT="0" distB="0" distL="0" distR="0" wp14:anchorId="3234DA69" wp14:editId="357B3390">
                <wp:extent cx="838200" cy="294005"/>
                <wp:effectExtent l="0" t="0" r="0" b="0"/>
                <wp:docPr id="1" name="Прямоугольник 1" descr="Rambler's Top100">
                  <a:hlinkClick xmlns:a="http://schemas.openxmlformats.org/drawingml/2006/main" r:id="rId1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38200" cy="29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67F20E" id="Прямоугольник 1" o:spid="_x0000_s1026" alt="Rambler's Top100" href="https://top100.rambler.ru/home?id=1256149" style="width:66pt;height:2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36E09FBF" w14:textId="77777777" w:rsidR="000E3911" w:rsidRDefault="000E3911"/>
    <w:sectPr w:rsidR="000E3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32"/>
    <w:rsid w:val="000E3911"/>
    <w:rsid w:val="00100CBC"/>
    <w:rsid w:val="005C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89998-CE49-41C3-B260-BDE60D564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00C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0C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00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00C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4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89203">
          <w:marLeft w:val="0"/>
          <w:marRight w:val="0"/>
          <w:marTop w:val="0"/>
          <w:marBottom w:val="0"/>
          <w:divBdr>
            <w:top w:val="dotted" w:sz="2" w:space="0" w:color="000000"/>
            <w:left w:val="dotted" w:sz="2" w:space="0" w:color="000000"/>
            <w:bottom w:val="dotted" w:sz="2" w:space="0" w:color="000000"/>
            <w:right w:val="dotted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venc.ru/text/%D0%A3%D1%82%D1%80%D0%B5%D0%BD%D1%8F.html" TargetMode="External"/><Relationship Id="rId13" Type="http://schemas.openxmlformats.org/officeDocument/2006/relationships/hyperlink" Target="https://fapmc.gov.ru/rospechat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ravenc.ru/text/%D0%B1%D0%BB%D0%B0%D0%B3%D0%BE%D1%81%D0%BB%D0%BE%D0%B2%D0%B5%D0%BD%D0%B8%D0%B5%20%D1%85%D0%BB%D0%B5%D0%B1%D0%BE%D0%B2.html" TargetMode="External"/><Relationship Id="rId12" Type="http://schemas.openxmlformats.org/officeDocument/2006/relationships/hyperlink" Target="https://www.pravenc.ru/text/%D0%A3%D1%81%D1%82%D0%B0%D0%B2%D1%8B%20%D1%86%D0%B5%D1%80%D0%BA%D0%BE%D0%B2%D0%BD%D1%8B%D0%B5%20%D0%B8%20%D0%BC%D0%BE%D0%BD%D0%B0%D1%81%D1%82%D1%8B%D1%80%D1%81%D0%BA%D0%B8%D0%B5.html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pravenc.ru/text/%D0%BB%D0%B8%D1%82%D0%B8%D1%8F.html" TargetMode="External"/><Relationship Id="rId11" Type="http://schemas.openxmlformats.org/officeDocument/2006/relationships/hyperlink" Target="https://www.pravenc.ru/text/%D0%92%D0%B8%D0%BE%D0%BB%D0%B0%D0%BA%D0%B8%D1%81%D0%B0%20%D0%A2%D0%B8%D0%BF%D0%B8%D0%BA%D0%BE%D0%BD.html" TargetMode="External"/><Relationship Id="rId5" Type="http://schemas.openxmlformats.org/officeDocument/2006/relationships/hyperlink" Target="https://www.pravenc.ru/text/%D0%B2%D0%B5%D1%87%D0%B5%D1%80%D0%BD%D0%B8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pravenc.ru/text/%D1%83%D1%81%D1%82%D0%B0%D0%B2%D0%BD%D1%8B%D0%B5%20%D1%87%D1%82%D0%B5%D0%BD%D0%B8%D1%8F.html" TargetMode="External"/><Relationship Id="rId4" Type="http://schemas.openxmlformats.org/officeDocument/2006/relationships/hyperlink" Target="https://www.pravenc.ru/text/%D0%B2%D1%81%D0%B5%D0%BD%D0%BE%D1%89%D0%BD%D0%BE%D0%B5%20%D0%B1%D0%B4%D0%B5%D0%BD%D0%B8%D0%B5.html" TargetMode="External"/><Relationship Id="rId9" Type="http://schemas.openxmlformats.org/officeDocument/2006/relationships/hyperlink" Target="https://www.pravenc.ru/text/%D0%9C%D0%B0%D1%80%D0%BA%D0%BE%D0%B2%D1%8B%20%D0%B3%D0%BB%D0%B0%D0%B2%D1%8B.html" TargetMode="External"/><Relationship Id="rId14" Type="http://schemas.openxmlformats.org/officeDocument/2006/relationships/hyperlink" Target="https://top100.rambler.ru/home?id=12561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1966</Words>
  <Characters>11208</Characters>
  <Application>Microsoft Office Word</Application>
  <DocSecurity>0</DocSecurity>
  <Lines>93</Lines>
  <Paragraphs>26</Paragraphs>
  <ScaleCrop>false</ScaleCrop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2025-01-24T17:03:00Z</dcterms:created>
  <dcterms:modified xsi:type="dcterms:W3CDTF">2025-01-24T17:03:00Z</dcterms:modified>
</cp:coreProperties>
</file>